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autoSpaceDE w:val="false"/>
        <w:snapToGrid w:val="false"/>
        <w:ind w:left="0" w:right="0" w:firstLine="709"/>
        <w:jc w:val="left"/>
        <w:rPr/>
      </w:pPr>
      <w:r>
        <w:rPr>
          <w:b/>
          <w:bCs/>
          <w:iCs/>
          <w:color w:val="000000"/>
          <w:spacing w:val="-12"/>
          <w:lang w:val="ru-RU" w:eastAsia="ar-SA"/>
        </w:rPr>
        <w:t>8.</w:t>
      </w:r>
      <w:r>
        <w:rPr>
          <w:b/>
          <w:iCs/>
          <w:color w:val="000000"/>
          <w:lang w:val="ru-RU" w:eastAsia="ar-SA"/>
        </w:rPr>
        <w:t> </w:t>
      </w:r>
      <w:r>
        <w:rPr>
          <w:b/>
          <w:bCs/>
          <w:iCs/>
          <w:color w:val="000000"/>
          <w:lang w:val="ru-RU" w:eastAsia="ar-SA"/>
        </w:rPr>
        <w:t>Учебно-методическое и информационное обеспечение дисциплины</w:t>
      </w:r>
    </w:p>
    <w:p>
      <w:pPr>
        <w:pStyle w:val="Normal"/>
        <w:widowControl/>
        <w:autoSpaceDE w:val="false"/>
        <w:snapToGrid w:val="false"/>
        <w:ind w:left="0" w:right="0"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autoSpaceDE w:val="false"/>
        <w:snapToGrid w:val="false"/>
        <w:ind w:left="0" w:right="0" w:firstLine="709"/>
        <w:jc w:val="left"/>
        <w:rPr>
          <w:b/>
          <w:b/>
          <w:bCs/>
          <w:iCs/>
          <w:color w:val="000000"/>
          <w:lang w:val="ru-RU" w:eastAsia="ar-SA"/>
        </w:rPr>
      </w:pPr>
      <w:r>
        <w:rPr>
          <w:b/>
          <w:bCs/>
          <w:iCs/>
          <w:color w:val="000000"/>
          <w:lang w:val="ru-RU" w:eastAsia="ar-SA"/>
        </w:rPr>
        <w:t>Литература для подготовки докладов с презентациями:</w:t>
      </w:r>
    </w:p>
    <w:p>
      <w:pPr>
        <w:pStyle w:val="Normal"/>
        <w:widowControl/>
        <w:autoSpaceDE w:val="false"/>
        <w:snapToGrid w:val="false"/>
        <w:ind w:left="709" w:right="0"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numPr>
          <w:ilvl w:val="0"/>
          <w:numId w:val="1"/>
        </w:numPr>
        <w:autoSpaceDE w:val="false"/>
        <w:snapToGrid w:val="false"/>
        <w:jc w:val="left"/>
        <w:rPr/>
      </w:pPr>
      <w:r>
        <w:rPr>
          <w:b w:val="false"/>
          <w:bCs w:val="false"/>
          <w:iCs/>
          <w:color w:val="000000"/>
          <w:lang w:val="ru-RU" w:eastAsia="ar-SA"/>
        </w:rPr>
        <w:t xml:space="preserve">С. А. Орлов,  Б. Я. Цилькер  Технологии разработки программного обеспечения. URL: </w:t>
      </w:r>
    </w:p>
    <w:p>
      <w:pPr>
        <w:pStyle w:val="Normal"/>
        <w:widowControl/>
        <w:numPr>
          <w:ilvl w:val="0"/>
          <w:numId w:val="0"/>
        </w:numPr>
        <w:autoSpaceDE w:val="false"/>
        <w:snapToGrid w:val="false"/>
        <w:ind w:left="754" w:hanging="0"/>
        <w:jc w:val="left"/>
        <w:rPr/>
      </w:pPr>
      <w:hyperlink r:id="rId2">
        <w:r>
          <w:rPr>
            <w:b w:val="false"/>
            <w:bCs w:val="false"/>
            <w:iCs/>
            <w:color w:val="000000"/>
            <w:lang w:val="ru-RU" w:eastAsia="ar-SA"/>
          </w:rPr>
          <w:t>https://cs.petrsu.ru/~ybgv/Mod-proc-SW-dev/Uchebniki/Orlov-Tehn-PO.pdf</w:t>
        </w:r>
      </w:hyperlink>
      <w:hyperlink r:id="rId3">
        <w:r>
          <w:rPr>
            <w:rStyle w:val="Style14"/>
            <w:b w:val="false"/>
            <w:bCs w:val="false"/>
            <w:iCs/>
            <w:color w:val="000000"/>
            <w:lang w:val="ru-RU" w:eastAsia="ar-SA"/>
          </w:rPr>
          <w:t xml:space="preserve"> </w:t>
        </w:r>
      </w:hyperlink>
    </w:p>
    <w:p>
      <w:pPr>
        <w:pStyle w:val="Normal"/>
        <w:widowControl/>
        <w:numPr>
          <w:ilvl w:val="0"/>
          <w:numId w:val="1"/>
        </w:numPr>
        <w:autoSpaceDE w:val="false"/>
        <w:snapToGrid w:val="false"/>
        <w:jc w:val="left"/>
        <w:rPr/>
      </w:pPr>
      <w:r>
        <w:rPr>
          <w:b w:val="false"/>
          <w:bCs w:val="false"/>
          <w:iCs/>
          <w:color w:val="000000"/>
          <w:lang w:val="ru-RU" w:eastAsia="ar-SA"/>
        </w:rPr>
        <w:t xml:space="preserve">Карл Вигерс и Джой Битти Разработка требований к программному .обеспечению. URL: </w:t>
      </w:r>
      <w:hyperlink r:id="rId4">
        <w:r>
          <w:rPr>
            <w:b w:val="false"/>
            <w:bCs w:val="false"/>
            <w:iCs/>
            <w:color w:val="000000"/>
            <w:lang w:val="ru-RU" w:eastAsia="ar-SA"/>
          </w:rPr>
          <w:t>https://cs.petrsu.ru/~ybgv/Mod-proc-SW-dev/Uchebniki/Vigers-treb.pdf</w:t>
        </w:r>
      </w:hyperlink>
      <w:hyperlink r:id="rId5">
        <w:r>
          <w:rPr>
            <w:rStyle w:val="Style14"/>
            <w:b w:val="false"/>
            <w:bCs w:val="false"/>
            <w:iCs/>
            <w:color w:val="000000"/>
            <w:lang w:val="ru-RU" w:eastAsia="ar-SA"/>
          </w:rPr>
          <w:t xml:space="preserve"> </w:t>
        </w:r>
      </w:hyperlink>
    </w:p>
    <w:p>
      <w:pPr>
        <w:pStyle w:val="Normal"/>
        <w:widowControl/>
        <w:numPr>
          <w:ilvl w:val="0"/>
          <w:numId w:val="1"/>
        </w:numPr>
        <w:autoSpaceDE w:val="false"/>
        <w:snapToGrid w:val="false"/>
        <w:jc w:val="left"/>
        <w:rPr/>
      </w:pPr>
      <w:r>
        <w:rPr>
          <w:rStyle w:val="WW"/>
          <w:rFonts w:eastAsia="Times New Roman" w:cs="Times New Roman" w:ascii="Times New Roman" w:hAnsi="Times New Roman"/>
          <w:b w:val="false"/>
          <w:bCs w:val="false"/>
          <w:iCs/>
          <w:color w:val="000000"/>
          <w:spacing w:val="-10"/>
          <w:sz w:val="24"/>
          <w:szCs w:val="24"/>
          <w:u w:val="none"/>
          <w:lang w:val="ru-RU" w:eastAsia="ar-SA"/>
        </w:rPr>
        <w:t>Зубкова, Т.М. Технология разработки программного обеспечения / Т.М. Зубкова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университет», Кафедра программного обеспечения вычислительной техники и автоматизированных систем. – Оренбург : ОГУ, 2017. – 469 с. : ил. – Режим доступа: по подписке. – URL: http://biblioclub.ru/index.php?page=book&amp;id=485553 (дата обращения: 09.04.2019). – Библиогр.: с. 454-459. – ISBN 978-5-7410-1785-2. – Текст : электронный.</w:t>
      </w:r>
    </w:p>
    <w:p>
      <w:pPr>
        <w:pStyle w:val="Normal"/>
        <w:widowControl/>
        <w:numPr>
          <w:ilvl w:val="0"/>
          <w:numId w:val="1"/>
        </w:numPr>
        <w:autoSpaceDE w:val="false"/>
        <w:snapToGrid w:val="false"/>
        <w:jc w:val="left"/>
        <w:rPr/>
      </w:pPr>
      <w:r>
        <w:rPr>
          <w:rStyle w:val="WW"/>
          <w:rFonts w:eastAsia="Times New Roman" w:cs="Times New Roman" w:ascii="Times New Roman" w:hAnsi="Times New Roman"/>
          <w:b w:val="false"/>
          <w:bCs w:val="false"/>
          <w:iCs/>
          <w:color w:val="000000"/>
          <w:spacing w:val="-10"/>
          <w:sz w:val="24"/>
          <w:szCs w:val="24"/>
          <w:u w:val="none"/>
          <w:lang w:val="ru-RU" w:eastAsia="ar-SA"/>
        </w:rPr>
        <w:t>Горелиц Н. К., Кильдишев Д. С, Хорошилов А. В. Управление требованиями к ответственным системам. Обзор решений. Труды ИСП РАН, том 31, вып. 1, 2019 г., стр. 25-48. DOI: 10.15514/ISPRAS-2019-31(1)-2. URL:</w:t>
      </w:r>
      <w:hyperlink r:id="rId6">
        <w:r>
          <w:rPr>
            <w:rFonts w:eastAsia="Times New Roman" w:cs="Times New Roman" w:ascii="Times New Roman" w:hAnsi="Times New Roman"/>
            <w:b w:val="false"/>
            <w:bCs w:val="false"/>
            <w:iCs/>
            <w:color w:val="000000"/>
            <w:spacing w:val="-10"/>
            <w:sz w:val="24"/>
            <w:szCs w:val="24"/>
            <w:u w:val="none"/>
            <w:lang w:val="ru-RU" w:eastAsia="ar-SA"/>
          </w:rPr>
          <w:t>http://cs.petrsu.ru/~ybgv/Pr-Project/Uchebniki/Gorelits-Kildishev-treb-k-otv-sys.pdf</w:t>
        </w:r>
      </w:hyperlink>
      <w:r>
        <w:rPr>
          <w:rStyle w:val="WW"/>
          <w:rFonts w:eastAsia="Times New Roman" w:cs="Times New Roman" w:ascii="Times New Roman" w:hAnsi="Times New Roman"/>
          <w:b w:val="false"/>
          <w:bCs w:val="false"/>
          <w:iCs/>
          <w:color w:val="000000"/>
          <w:spacing w:val="-10"/>
          <w:sz w:val="24"/>
          <w:szCs w:val="24"/>
          <w:u w:val="none"/>
          <w:lang w:val="ru-RU" w:eastAsia="ar-SA"/>
        </w:rPr>
        <w:t xml:space="preserve"> </w:t>
      </w:r>
    </w:p>
    <w:p>
      <w:pPr>
        <w:pStyle w:val="Normal"/>
        <w:widowControl/>
        <w:autoSpaceDE w:val="false"/>
        <w:snapToGrid w:val="false"/>
        <w:ind w:left="0" w:right="0" w:firstLine="709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40" w:after="240"/>
        <w:ind w:left="0" w:right="0" w:firstLine="570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8.1. Основная литература:</w:t>
      </w:r>
    </w:p>
    <w:p>
      <w:pPr>
        <w:pStyle w:val="Style22"/>
        <w:suppressAutoHyphens w:val="false"/>
        <w:ind w:left="629" w:right="0" w:hanging="227"/>
        <w:jc w:val="left"/>
        <w:rPr/>
      </w:pPr>
      <w:r>
        <w:rPr>
          <w:rStyle w:val="WW"/>
          <w:rFonts w:eastAsia="Times New Roman" w:cs="Times New Roman" w:ascii="Times New Roman" w:hAnsi="Times New Roman"/>
          <w:color w:val="000000"/>
          <w:spacing w:val="-10"/>
          <w:sz w:val="24"/>
          <w:szCs w:val="24"/>
          <w:u w:val="none"/>
          <w:lang w:val="ru-RU" w:eastAsia="ar-SA"/>
        </w:rPr>
        <w:t>1. Ехлаков, Ю.П. Управление программными проектами : учебник / Ю.П. Ехлаков ; Министерство образования и науки Российской Федерации, Томский Государственный Университет Систем Управления и Радиоэлектроники (ТУСУР). - Томск : Томский государственный университет систем управления и радиоэлектроники, 2015. - 217 с. : схем., табл. - Библиогр. в кн. - ISBN 978-5-86889-723-8 ; То же [Электронный ресурс]. - URL: http://biblioclub.ru/index.php?page=book&amp;id=480634 (дата обращения: 10.04.2019).</w:t>
      </w:r>
    </w:p>
    <w:p>
      <w:pPr>
        <w:pStyle w:val="Style22"/>
        <w:suppressAutoHyphens w:val="false"/>
        <w:ind w:left="629" w:right="0" w:hanging="227"/>
        <w:jc w:val="left"/>
        <w:rPr/>
      </w:pPr>
      <w:r>
        <w:rPr>
          <w:rStyle w:val="WW"/>
          <w:rFonts w:eastAsia="Times New Roman" w:cs="Times New Roman" w:ascii="Times New Roman" w:hAnsi="Times New Roman"/>
          <w:color w:val="000000"/>
          <w:spacing w:val="-10"/>
          <w:sz w:val="24"/>
          <w:szCs w:val="24"/>
          <w:u w:val="none"/>
          <w:lang w:val="ru-RU" w:eastAsia="ar-SA"/>
        </w:rPr>
        <w:t>2. Зубкова, Т.М. Технология разработки программного обеспечения / Т.М. Зубкова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университет», Кафедра программного обеспечения вычислительной техники и автоматизированных систем. – Оренбург : ОГУ, 2017. – 469 с. : ил. – Режим доступа: по подписке. – URL: http://biblioclub.ru/index.php?page=book&amp;id=485553 (дата обращения: 09.04.2019). – Библиогр.: с. 454-459. – ISBN 978-5-7410-1785-2. – Текст : электронный.</w:t>
      </w:r>
    </w:p>
    <w:p>
      <w:pPr>
        <w:pStyle w:val="Style22"/>
        <w:suppressAutoHyphens w:val="false"/>
        <w:ind w:left="629" w:right="0" w:hanging="227"/>
        <w:jc w:val="left"/>
        <w:rPr/>
      </w:pPr>
      <w:r>
        <w:rPr>
          <w:rStyle w:val="WW"/>
          <w:rFonts w:eastAsia="Times New Roman" w:cs="Times New Roman" w:ascii="Times New Roman" w:hAnsi="Times New Roman"/>
          <w:color w:val="000000"/>
          <w:spacing w:val="-10"/>
          <w:sz w:val="24"/>
          <w:szCs w:val="24"/>
          <w:u w:val="none"/>
          <w:lang w:val="ru-RU" w:eastAsia="ar-SA"/>
        </w:rPr>
        <w:t>3. Маглинец, Ю.А. Анализ требований к автоматизированным информационным системам : учебное пособие / Ю.А. Маглинец. - Москва : Интернет-Университет Информационных Технологий, 2008. - 200 с. : ил., табл., схем. - (Основы информационных технологий). - ISBN 978-5-94774-865-9 ; То же [Электронный ресурс]. - URL: http://biblioclub.ru/index.php?page=book&amp;id=233195 (дата обращения: 13.04.2019).</w:t>
      </w:r>
    </w:p>
    <w:p>
      <w:pPr>
        <w:pStyle w:val="Normal"/>
        <w:spacing w:before="240" w:after="240"/>
        <w:ind w:left="0" w:right="0" w:firstLine="570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8.2. Дополнительная литература: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rPr>
          <w:rFonts w:ascii="Times-new-Roman;Times New Roman" w:hAnsi="Times-new-Roman;Times New Roman" w:cs="Times-new-Roman;Times New Roman"/>
          <w:color w:val="000000"/>
          <w:spacing w:val="-1"/>
          <w:lang w:val="ru-RU"/>
        </w:rPr>
      </w:pP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1. Васючкова Т. С. Управление проектами с использованием Microsoft Project / Т.С. Ва</w:t>
        <w:softHyphen/>
        <w:t>сючкова, Н.А. Иванчева, М.А. Держо, Т.П. Пухначева. – 2-е изд., испр. – Москва : Национальный Открытый Университет «ИНТУИТ», 2016. – 148 с. : ил. – Режим доступа: по подписке. – URL: http://biblioclub.ru/index.php?page=book&amp;id=429881 (дата обращения: 10.04.2019). – Библиогр. в кн. – Текст : электронный.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rPr/>
      </w:pP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2.</w:t>
      </w:r>
      <w:r>
        <w:rPr>
          <w:rFonts w:cs="Times-new-Roman;Times New Roman" w:ascii="Times-new-Roman;Times New Roman" w:hAnsi="Times-new-Roman;Times New Roman"/>
          <w:color w:val="000000"/>
          <w:spacing w:val="-1"/>
          <w:sz w:val="12"/>
          <w:szCs w:val="12"/>
          <w:lang w:val="ru-RU"/>
        </w:rPr>
        <w:t xml:space="preserve"> </w:t>
      </w:r>
      <w:r>
        <w:rPr>
          <w:color w:val="000000"/>
          <w:lang w:val="ru-RU"/>
        </w:rPr>
        <w:t xml:space="preserve">Никитин, И.А. Процессы анализа и управления рисками в области ИТ / И.А. Никитин, М.Т. Цулая. – 2-е изд., испр. – Москва : Национальный Открытый Университет «ИНТУИТ», 2016. – 167 с. : схем., ил. – Режим доступа: по подписке. – URL: </w:t>
      </w:r>
      <w:hyperlink r:id="rId7">
        <w:r>
          <w:rPr>
            <w:color w:val="000000"/>
            <w:lang w:val="ru-RU"/>
          </w:rPr>
          <w:t>http://biblioclub.ru/index.php?page=book&amp;id=429089</w:t>
        </w:r>
      </w:hyperlink>
      <w:r>
        <w:rPr>
          <w:color w:val="000000"/>
          <w:lang w:val="ru-RU"/>
        </w:rPr>
        <w:t xml:space="preserve"> (дата обращения: 11.04.2019). – Текст : электронный.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rPr/>
      </w:pPr>
      <w:r>
        <w:rPr>
          <w:color w:val="000000"/>
          <w:lang w:val="ru-RU"/>
        </w:rPr>
        <w:t>3. Горелиц Н. К., Кильдишев Д. С, Хорошилов А. В. Управление требованиями к ответственным системам. Обзор решений. Труды ИСП РАН, том 31, вып. 1, 2019 г., стр. 25-48. DOI: 10.15514/ISPRAS-2019-31(1)-2. URL:</w:t>
      </w:r>
      <w:hyperlink r:id="rId8">
        <w:r>
          <w:rPr>
            <w:color w:val="000000"/>
            <w:lang w:val="ru-RU"/>
          </w:rPr>
          <w:t>http://cs.petrsu.ru/~ybgv/Pr-Project/Uchebniki/Gorelits-Kildishev-treb-k-otv-sys.pdf</w:t>
        </w:r>
      </w:hyperlink>
      <w:r>
        <w:rPr>
          <w:color w:val="000000"/>
          <w:lang w:val="ru-RU"/>
        </w:rPr>
        <w:t xml:space="preserve"> </w:t>
      </w:r>
    </w:p>
    <w:p>
      <w:pPr>
        <w:pStyle w:val="Normal"/>
        <w:spacing w:before="240" w:after="240"/>
        <w:ind w:left="0" w:right="0" w:firstLine="570"/>
        <w:rPr>
          <w:b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8.3. Программное обеспечение и Интернет-ресурсы: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spacing w:before="240" w:after="240"/>
        <w:ind w:left="0" w:right="0" w:firstLine="709"/>
        <w:rPr>
          <w:rFonts w:ascii="Times-new-Roman;Times New Roman" w:hAnsi="Times-new-Roman;Times New Roman" w:cs="Times-new-Roman;Times New Roman"/>
          <w:color w:val="000000"/>
          <w:spacing w:val="-2"/>
          <w:lang w:val="ru-RU"/>
        </w:rPr>
      </w:pPr>
      <w:r>
        <w:rPr>
          <w:rFonts w:cs="Times-new-Roman;Times New Roman" w:ascii="Times-new-Roman;Times New Roman" w:hAnsi="Times-new-Roman;Times New Roman"/>
          <w:color w:val="000000"/>
          <w:spacing w:val="-2"/>
          <w:lang w:val="ru-RU"/>
        </w:rPr>
        <w:t>Используются стандартные средства показа pdf файлов.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jc w:val="left"/>
        <w:rPr/>
      </w:pP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1. ГОСТ Р ИСО/МЭК 12207-2010 Информационная технология. Системная и про</w:t>
        <w:softHyphen/>
        <w:t>граммная инженерия. Процессы жизненного цикла программных средств. – М.: Стандартинформ, 2011. – 106 с. [Электронный ресурс]: — URL: http://protect.gost.ru/v.aspx?control=8&amp;baseC=-1&amp;page=0&amp;month=-1&amp;year=-1&amp;search=&amp;RegNum=1&amp;DocOnPageCount=15&amp;id=16909 (</w:t>
      </w:r>
      <w:r>
        <w:rPr>
          <w:rStyle w:val="WW"/>
          <w:rFonts w:eastAsia="Times New Roman" w:cs="Times New Roman"/>
          <w:color w:val="000000"/>
          <w:spacing w:val="-10"/>
          <w:sz w:val="24"/>
          <w:szCs w:val="24"/>
          <w:u w:val="none"/>
          <w:lang w:val="ru-RU" w:eastAsia="ar-SA"/>
        </w:rPr>
        <w:t xml:space="preserve">дата обращения: </w:t>
      </w: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11.04.2019).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jc w:val="left"/>
        <w:rPr/>
      </w:pP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2. Пример шаблона технического задания (ТЗ) на сайт [Электронный ресурс]. - URL: http://www.rugost.com/index.php?option=com_content&amp;view=article&amp;id=182:43&amp;catid=33&amp;Itemid=85 (</w:t>
      </w:r>
      <w:r>
        <w:rPr>
          <w:rStyle w:val="WW"/>
          <w:rFonts w:eastAsia="Times New Roman" w:cs="Times New Roman"/>
          <w:color w:val="000000"/>
          <w:spacing w:val="-10"/>
          <w:sz w:val="24"/>
          <w:szCs w:val="24"/>
          <w:u w:val="none"/>
          <w:lang w:val="ru-RU" w:eastAsia="ar-SA"/>
        </w:rPr>
        <w:t>дата обращения:</w:t>
      </w: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12.04.2019).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jc w:val="left"/>
        <w:rPr/>
      </w:pP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3. Atlassian Лучший продукт для agile-команд [Электронный ресурс]. - URL: https://ru.atlassian.com/software/jira (</w:t>
      </w:r>
      <w:r>
        <w:rPr>
          <w:rStyle w:val="WW"/>
          <w:rFonts w:eastAsia="Times New Roman" w:cs="Times New Roman"/>
          <w:color w:val="000000"/>
          <w:spacing w:val="-10"/>
          <w:sz w:val="24"/>
          <w:szCs w:val="24"/>
          <w:u w:val="none"/>
          <w:lang w:val="ru-RU" w:eastAsia="ar-SA"/>
        </w:rPr>
        <w:t>дата обращения: 13</w:t>
      </w: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.04.2019)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jc w:val="left"/>
        <w:rPr/>
      </w:pP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4. Jenkins User Documentation [Электронный ресурс]. - URL: https://jenkins.io/doc/ (</w:t>
      </w:r>
      <w:r>
        <w:rPr>
          <w:rStyle w:val="WW"/>
          <w:rFonts w:eastAsia="Times New Roman" w:cs="Times New Roman"/>
          <w:color w:val="000000"/>
          <w:spacing w:val="-10"/>
          <w:sz w:val="24"/>
          <w:szCs w:val="24"/>
          <w:u w:val="none"/>
          <w:lang w:val="ru-RU" w:eastAsia="ar-SA"/>
        </w:rPr>
        <w:t>дата обращения: 12</w:t>
      </w:r>
      <w:r>
        <w:rPr>
          <w:rFonts w:cs="Times-new-Roman;Times New Roman" w:ascii="Times-new-Roman;Times New Roman" w:hAnsi="Times-new-Roman;Times New Roman"/>
          <w:color w:val="000000"/>
          <w:spacing w:val="-1"/>
          <w:lang w:val="ru-RU"/>
        </w:rPr>
        <w:t>.04.2019).</w:t>
      </w:r>
    </w:p>
    <w:p>
      <w:pPr>
        <w:pStyle w:val="Normal"/>
        <w:shd w:fill="FFFFFF" w:val="clear"/>
        <w:tabs>
          <w:tab w:val="clear" w:pos="709"/>
          <w:tab w:val="left" w:pos="850" w:leader="none"/>
          <w:tab w:val="left" w:pos="8640" w:leader="underscore"/>
        </w:tabs>
        <w:ind w:left="629" w:right="0" w:hanging="227"/>
        <w:jc w:val="left"/>
        <w:rPr/>
      </w:pPr>
      <w:r>
        <w:rPr>
          <w:rFonts w:cs="Times-new-Roman;Times New Roman" w:ascii="Times-new-Roman;Times New Roman" w:hAnsi="Times-new-Roman;Times New Roman"/>
          <w:color w:val="000000"/>
          <w:lang w:val="ru-RU"/>
        </w:rPr>
        <w:t>5. Redmine guide  [Электронный ресурс]. - URL: https://www.redmine.org/projects/redmine/wiki/Guide (</w:t>
      </w:r>
      <w:r>
        <w:rPr>
          <w:rStyle w:val="WW"/>
          <w:rFonts w:eastAsia="Times New Roman" w:cs="Times New Roman"/>
          <w:color w:val="000000"/>
          <w:spacing w:val="-10"/>
          <w:sz w:val="24"/>
          <w:szCs w:val="24"/>
          <w:u w:val="none"/>
          <w:lang w:val="ru-RU" w:eastAsia="ar-SA"/>
        </w:rPr>
        <w:t>дата обращения: 12</w:t>
      </w:r>
      <w:r>
        <w:rPr>
          <w:rFonts w:cs="Times-new-Roman;Times New Roman" w:ascii="Times-new-Roman;Times New Roman" w:hAnsi="Times-new-Roman;Times New Roman"/>
          <w:color w:val="000000"/>
          <w:lang w:val="ru-RU"/>
        </w:rPr>
        <w:t>.04.2019)</w:t>
      </w:r>
    </w:p>
    <w:p>
      <w:pPr>
        <w:pStyle w:val="Normal"/>
        <w:widowControl/>
        <w:shd w:fill="FFFFFF" w:val="clear"/>
        <w:tabs>
          <w:tab w:val="clear" w:pos="709"/>
          <w:tab w:val="left" w:pos="850" w:leader="none"/>
          <w:tab w:val="left" w:pos="8640" w:leader="underscore"/>
        </w:tabs>
        <w:suppressAutoHyphens w:val="true"/>
        <w:autoSpaceDE w:val="false"/>
        <w:snapToGrid w:val="false"/>
        <w:ind w:left="629" w:right="0" w:hanging="227"/>
        <w:jc w:val="left"/>
        <w:rPr/>
      </w:pPr>
      <w:r>
        <w:rPr>
          <w:rFonts w:eastAsia="Times New Roman" w:cs="Times-new-Roman;Times New Roman" w:ascii="Times-new-Roman;Times New Roman" w:hAnsi="Times-new-Roman;Times New Roman"/>
          <w:b w:val="false"/>
          <w:bCs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  <w:t>6. Scrum Guides.- [Электронный ресурс] — URL:https://www.scrumguides.org/ (</w:t>
      </w:r>
      <w:r>
        <w:rPr>
          <w:rStyle w:val="WW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pacing w:val="-10"/>
          <w:kern w:val="0"/>
          <w:sz w:val="24"/>
          <w:szCs w:val="24"/>
          <w:u w:val="none"/>
          <w:lang w:val="ru-RU" w:eastAsia="ar-SA" w:bidi="ar-SA"/>
        </w:rPr>
        <w:t>дата обращения: 12</w:t>
      </w:r>
      <w:r>
        <w:rPr>
          <w:rFonts w:eastAsia="Times New Roman" w:cs="Times-new-Roman;Times New Roman" w:ascii="Times-new-Roman;Times New Roman" w:hAnsi="Times-new-Roman;Times New Roman"/>
          <w:b w:val="false"/>
          <w:bCs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  <w:t>.04.2019)</w:t>
      </w:r>
    </w:p>
    <w:p>
      <w:pPr>
        <w:pStyle w:val="Normal"/>
        <w:widowControl/>
        <w:shd w:fill="FFFFFF" w:val="clear"/>
        <w:tabs>
          <w:tab w:val="clear" w:pos="709"/>
          <w:tab w:val="left" w:pos="850" w:leader="none"/>
          <w:tab w:val="left" w:pos="8640" w:leader="underscore"/>
        </w:tabs>
        <w:suppressAutoHyphens w:val="true"/>
        <w:autoSpaceDE w:val="false"/>
        <w:snapToGrid w:val="false"/>
        <w:ind w:left="629" w:right="0" w:hanging="227"/>
        <w:jc w:val="left"/>
        <w:rPr>
          <w:rFonts w:ascii="Times-new-Roman;Times New Roman" w:hAnsi="Times-new-Roman;Times New Roman" w:eastAsia="Times New Roman" w:cs="Times-new-Roman;Times New Roman"/>
          <w:b w:val="false"/>
          <w:b w:val="false"/>
          <w:bCs w:val="false"/>
          <w:i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</w:pPr>
      <w:r>
        <w:rPr>
          <w:rFonts w:eastAsia="Times New Roman" w:cs="Times-new-Roman;Times New Roman" w:ascii="Times-new-Roman;Times New Roman" w:hAnsi="Times-new-Roman;Times New Roman"/>
          <w:b w:val="false"/>
          <w:bCs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  <w:t>7. Requality - инструмент для работы с требованиями. [Электронный ресурс] — URL:</w:t>
      </w:r>
    </w:p>
    <w:p>
      <w:pPr>
        <w:pStyle w:val="Normal"/>
        <w:widowControl/>
        <w:shd w:fill="FFFFFF" w:val="clear"/>
        <w:tabs>
          <w:tab w:val="clear" w:pos="709"/>
          <w:tab w:val="left" w:pos="850" w:leader="none"/>
          <w:tab w:val="left" w:pos="8640" w:leader="underscore"/>
        </w:tabs>
        <w:suppressAutoHyphens w:val="true"/>
        <w:autoSpaceDE w:val="false"/>
        <w:snapToGrid w:val="false"/>
        <w:ind w:left="629" w:right="0" w:hanging="227"/>
        <w:jc w:val="left"/>
        <w:rPr/>
      </w:pPr>
      <w:hyperlink r:id="rId9">
        <w:r>
          <w:rPr>
            <w:rFonts w:eastAsia="Times New Roman" w:cs="Times-new-Roman;Times New Roman" w:ascii="Times-new-Roman;Times New Roman" w:hAnsi="Times-new-Roman;Times New Roman"/>
            <w:b w:val="false"/>
            <w:bCs w:val="false"/>
            <w:i w:val="false"/>
            <w:iCs/>
            <w:color w:val="000000"/>
            <w:spacing w:val="-1"/>
            <w:kern w:val="0"/>
            <w:sz w:val="24"/>
            <w:szCs w:val="24"/>
            <w:u w:val="none"/>
            <w:lang w:val="ru-RU" w:eastAsia="ar-SA" w:bidi="ar-SA"/>
          </w:rPr>
          <w:t>http://requality.ru/ru/</w:t>
        </w:r>
      </w:hyperlink>
      <w:r>
        <w:rPr>
          <w:rFonts w:eastAsia="Times New Roman" w:cs="Times-new-Roman;Times New Roman" w:ascii="Times-new-Roman;Times New Roman" w:hAnsi="Times-new-Roman;Times New Roman"/>
          <w:b w:val="false"/>
          <w:bCs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  <w:t xml:space="preserve"> (</w:t>
      </w:r>
      <w:r>
        <w:rPr>
          <w:rStyle w:val="WW"/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pacing w:val="-10"/>
          <w:kern w:val="0"/>
          <w:sz w:val="24"/>
          <w:szCs w:val="24"/>
          <w:u w:val="none"/>
          <w:lang w:val="ru-RU" w:eastAsia="ar-SA" w:bidi="ar-SA"/>
        </w:rPr>
        <w:t>дата обращения: 19</w:t>
      </w:r>
      <w:r>
        <w:rPr>
          <w:rFonts w:eastAsia="Times New Roman" w:cs="Times-new-Roman;Times New Roman" w:ascii="Times-new-Roman;Times New Roman" w:hAnsi="Times-new-Roman;Times New Roman"/>
          <w:b w:val="false"/>
          <w:bCs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  <w:t>.01.2020)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Times-new-Roman" w:hAnsi="Times-new-Roman" w:cs="Times-new-Roman"/>
          <w:color w:val="000000"/>
        </w:rPr>
      </w:pPr>
      <w:r>
        <w:rPr>
          <w:rFonts w:cs="Times-new-Roman" w:ascii="Times-new-Roman" w:hAnsi="Times-new-Roman"/>
          <w:color w:val="000000"/>
        </w:rPr>
      </w:r>
    </w:p>
    <w:p>
      <w:pPr>
        <w:pStyle w:val="Normal"/>
        <w:rPr>
          <w:rFonts w:ascii="Times-new-Roman" w:hAnsi="Times-new-Roman" w:cs="Times-new-Roman"/>
          <w:color w:val="000000"/>
        </w:rPr>
      </w:pPr>
      <w:r>
        <w:rPr>
          <w:rFonts w:cs="Times-new-Roman" w:ascii="Times-new-Roman" w:hAnsi="Times-new-Roman"/>
          <w:color w:val="000000"/>
        </w:rPr>
        <w:t>На каждом занятии заслушивается пять докладов с презентациями по представленным ниже темам. Презентации готовятся на основе шаблона:</w:t>
      </w:r>
    </w:p>
    <w:p>
      <w:pPr>
        <w:pStyle w:val="Normal"/>
        <w:rPr/>
      </w:pPr>
      <w:r>
        <w:rPr>
          <w:rFonts w:cs="Times-new-Roman" w:ascii="Times-new-Roman" w:hAnsi="Times-new-Roman"/>
          <w:color w:val="000000"/>
        </w:rPr>
        <w:t xml:space="preserve">URL: </w:t>
      </w:r>
      <w:hyperlink r:id="rId10">
        <w:r>
          <w:rPr>
            <w:rFonts w:cs="Times-new-Roman" w:ascii="Times-new-Roman" w:hAnsi="Times-new-Roman"/>
            <w:color w:val="000000"/>
          </w:rPr>
          <w:t>http://cs.petrsu.ru/~ybgv/Pr-Project/Shablon-presentacii/</w:t>
        </w:r>
      </w:hyperlink>
      <w:r>
        <w:rPr>
          <w:rFonts w:cs="Times-new-Roman" w:ascii="Times-new-Roman" w:hAnsi="Times-new-Roman"/>
          <w:color w:val="000000"/>
        </w:rPr>
        <w:t xml:space="preserve"> </w:t>
      </w:r>
    </w:p>
    <w:p>
      <w:pPr>
        <w:pStyle w:val="Normal"/>
        <w:rPr/>
      </w:pPr>
      <w:r>
        <w:rPr>
          <w:rFonts w:cs="TimesNewRoman" w:ascii="TimesNewRoman" w:hAnsi="TimesNewRoman"/>
          <w:b w:val="false"/>
          <w:bCs w:val="false"/>
          <w:color w:val="000000"/>
          <w:sz w:val="24"/>
          <w:szCs w:val="24"/>
          <w:lang w:val="ru-RU"/>
        </w:rPr>
        <w:t>Презентация должна удовлетворять следующим техническим требованиям: наличие слайдов титульного листа и содержания, отсутствие на слайдах длинных фрагментов текста, использование всего поля слайда, отсутствие шрифтов мелкого размера, о</w:t>
      </w:r>
      <w:r>
        <w:rPr>
          <w:rFonts w:cs="Times-new-Roman" w:ascii="Times-new-Roman" w:hAnsi="Times-new-Roman"/>
          <w:color w:val="000000"/>
        </w:rPr>
        <w:t>бъем презентации не менее 15 слайдов</w:t>
      </w:r>
    </w:p>
    <w:p>
      <w:pPr>
        <w:pStyle w:val="Normal"/>
        <w:rPr>
          <w:rFonts w:ascii="Courier;Courier New" w:hAnsi="Courier;Courier New" w:eastAsia="WenQuanYi Micro Hei" w:cs="Courier;Courier New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</w:r>
    </w:p>
    <w:p>
      <w:pPr>
        <w:pStyle w:val="Normal"/>
        <w:rPr/>
      </w:pP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>Сборку презентации рекомендуется выполнять в каталоге студента  на  сервере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 kappa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, который поддеживает актуальные версии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LaTeX 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>и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 Beamer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 командой:</w:t>
      </w:r>
    </w:p>
    <w:p>
      <w:pPr>
        <w:pStyle w:val="Normal"/>
        <w:rPr/>
      </w:pP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latexmk -pdf frames.tex. 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Файл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pdf 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можно просматривать с помощью браузера в каталоге студента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public_html 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на   сервера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>kappa.</w:t>
      </w:r>
    </w:p>
    <w:p>
      <w:pPr>
        <w:pStyle w:val="Normal"/>
        <w:rPr/>
      </w:pP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>Каталог с презентацией нужно заархивироваить (проще всего программой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 xml:space="preserve"> zip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>)</w:t>
      </w:r>
    </w:p>
    <w:p>
      <w:pPr>
        <w:pStyle w:val="Normal"/>
        <w:rPr/>
      </w:pP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Архиву нужно дать имя латинскими буквами вида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>&lt;NN&gt;&lt;familia-tema-doklada&gt;.zip,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а полученному файлу pdf -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>&lt;NN&gt;&lt;familia-tema-doklada&gt;.pdf</w:t>
      </w: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 xml:space="preserve">, например: 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4"/>
          <w:szCs w:val="24"/>
          <w:lang w:val="ru-RU" w:eastAsia="zh-CN" w:bidi="hi-IN"/>
        </w:rPr>
        <w:t>Besednyi-Model-klassich.pdf.</w:t>
      </w:r>
    </w:p>
    <w:p>
      <w:pPr>
        <w:pStyle w:val="Normal"/>
        <w:rPr>
          <w:rFonts w:ascii="Times-new-Roman" w:hAnsi="Times-new-Roman" w:eastAsia="WenQuanYi Micro Hei" w:cs="Times-new-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WenQuanYi Micro Hei" w:cs="Times-new-Roman" w:ascii="Times-new-Roman" w:hAnsi="Times-new-Roman"/>
          <w:color w:val="000000"/>
          <w:kern w:val="2"/>
          <w:sz w:val="24"/>
          <w:szCs w:val="24"/>
          <w:lang w:val="ru-RU" w:eastAsia="zh-CN" w:bidi="hi-IN"/>
        </w:rPr>
        <w:t>Архив и переименованный файл нужно загрузить в каталог:</w:t>
      </w:r>
    </w:p>
    <w:p>
      <w:pPr>
        <w:pStyle w:val="Normal"/>
        <w:rPr/>
      </w:pPr>
      <w:r>
        <w:rPr>
          <w:rFonts w:cs="Courier;Courier New" w:ascii="Courier;Courier New" w:hAnsi="Courier;Courier New"/>
          <w:color w:val="000000"/>
          <w:sz w:val="22"/>
          <w:szCs w:val="22"/>
        </w:rPr>
        <w:t>/home/04/ybgv/Teaching-Process/COURSES/Prog-proekt/2020/Presentaci</w:t>
      </w:r>
      <w:r>
        <w:rPr>
          <w:rFonts w:cs="Courier;Courier New" w:ascii="Courier;Courier New" w:hAnsi="Courier;Courier New"/>
          <w:color w:val="000000"/>
        </w:rPr>
        <w:t>i</w:t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!!! Год именно 2020, не ошибка !!!</w:t>
      </w:r>
    </w:p>
    <w:p>
      <w:pPr>
        <w:pStyle w:val="Normal"/>
        <w:rPr/>
      </w:pPr>
      <w:r>
        <w:rPr>
          <w:rFonts w:eastAsia="WenQuanYi Micro Hei" w:cs="FreeSans"/>
          <w:color w:val="000000"/>
          <w:kern w:val="2"/>
          <w:sz w:val="24"/>
          <w:szCs w:val="24"/>
          <w:lang w:val="ru-RU" w:eastAsia="zh-CN" w:bidi="hi-IN"/>
        </w:rPr>
        <w:t>Вариант процедуры загрузки с помощью</w:t>
      </w:r>
      <w:r>
        <w:rPr>
          <w:rFonts w:cs="Courier;Courier New" w:ascii="Courier;Courier New" w:hAnsi="Courier;Courier New"/>
          <w:color w:val="000000"/>
        </w:rPr>
        <w:t xml:space="preserve"> mc.</w:t>
      </w:r>
    </w:p>
    <w:p>
      <w:pPr>
        <w:pStyle w:val="Normal"/>
        <w:rPr>
          <w:rFonts w:ascii="Courier;Courier New" w:hAnsi="Courier;Courier New" w:cs="Courier;Courier New"/>
          <w:color w:val="000000"/>
        </w:rPr>
      </w:pPr>
      <w:r>
        <w:rPr>
          <w:rFonts w:cs="Courier;Courier New" w:ascii="Courier;Courier New" w:hAnsi="Courier;Courier New"/>
          <w:color w:val="000000"/>
        </w:rPr>
        <w:t>1. ssh -X login@kappa.cs.karelia.ru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Courier;Courier New" w:hAnsi="Courier;Courier New" w:cs="Courier;Courier New"/>
          <w:color w:val="000000"/>
        </w:rPr>
      </w:pPr>
      <w:r>
        <w:rPr>
          <w:rFonts w:cs="Courier;Courier New" w:ascii="Courier;Courier New" w:hAnsi="Courier;Courier New"/>
          <w:color w:val="000000"/>
        </w:rPr>
        <w:t>2. Вести пароль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Courier;Courier New" w:hAnsi="Courier;Courier New" w:cs="Courier;Courier New"/>
          <w:color w:val="000000"/>
        </w:rPr>
      </w:pPr>
      <w:r>
        <w:rPr>
          <w:rFonts w:cs="Courier;Courier New" w:ascii="Courier;Courier New" w:hAnsi="Courier;Courier New"/>
          <w:color w:val="000000"/>
        </w:rPr>
        <w:t>3. Запустить mc, в левом окне - каталог с загружаемыми файлами.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Courier;Courier New" w:hAnsi="Courier;Courier New" w:cs="Courier;Courier New"/>
          <w:color w:val="000000"/>
        </w:rPr>
      </w:pPr>
      <w:r>
        <w:rPr>
          <w:rFonts w:cs="Courier;Courier New" w:ascii="Courier;Courier New" w:hAnsi="Courier;Courier New"/>
          <w:color w:val="000000"/>
        </w:rPr>
        <w:t>3. Перейти (TAB) в правое окно, там выполнить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rFonts w:cs="Courier;Courier New" w:ascii="Courier;Courier New" w:hAnsi="Courier;Courier New"/>
          <w:color w:val="000000"/>
          <w:sz w:val="22"/>
          <w:szCs w:val="22"/>
        </w:rPr>
        <w:t>cd /home/04/ybgv/</w:t>
      </w:r>
      <w:r>
        <w:rPr>
          <w:rFonts w:cs="Courier;Courier New" w:ascii="Courier;Courier New" w:hAnsi="Courier;Courier New"/>
          <w:color w:val="000000"/>
          <w:sz w:val="22"/>
          <w:szCs w:val="22"/>
          <w:lang w:val="ru-RU"/>
        </w:rPr>
        <w:t>present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color w:val="000000"/>
        </w:rPr>
        <w:t>(</w:t>
      </w:r>
      <w:r>
        <w:rPr>
          <w:rFonts w:eastAsia="WenQuanYi Micro Hei" w:cs="Courier;Courier New" w:ascii="Courier;Courier New" w:hAnsi="Courier;Courier New"/>
          <w:color w:val="000000"/>
          <w:kern w:val="2"/>
          <w:sz w:val="22"/>
          <w:szCs w:val="22"/>
          <w:lang w:val="ru-RU" w:eastAsia="zh-CN" w:bidi="hi-IN"/>
        </w:rPr>
        <w:t>present</w:t>
      </w:r>
      <w:r>
        <w:rPr>
          <w:color w:val="000000"/>
        </w:rPr>
        <w:t xml:space="preserve"> — символическая ссылка на каталог для презентаций).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Courier;Courier New" w:hAnsi="Courier;Courier New" w:cs="Courier;Courier New"/>
          <w:color w:val="000000"/>
        </w:rPr>
      </w:pPr>
      <w:r>
        <w:rPr>
          <w:rFonts w:cs="Courier;Courier New" w:ascii="Courier;Courier New" w:hAnsi="Courier;Courier New"/>
          <w:color w:val="000000"/>
        </w:rPr>
        <w:t>4. Перейти (TAB) в левое окно, установить стрелкой на нужный файл, нажать F5, Enter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color w:val="000000"/>
        </w:rPr>
        <w:t xml:space="preserve">Темы докладов. страницы по Орлову, если явно не указано. Если указано </w:t>
      </w:r>
      <w:r>
        <w:rPr>
          <w:rFonts w:eastAsia="WenQuanYi Micro Hei" w:cs="FreeSans"/>
          <w:color w:val="000000"/>
          <w:kern w:val="2"/>
          <w:sz w:val="24"/>
          <w:szCs w:val="24"/>
          <w:lang w:val="ru-RU" w:eastAsia="zh-CN" w:bidi="hi-IN"/>
        </w:rPr>
        <w:t xml:space="preserve">В страницы — по Вигерс.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>
          <w:b/>
          <w:bCs/>
          <w:color w:val="000000"/>
        </w:rPr>
        <w:t>Занятие 1.</w:t>
      </w:r>
      <w:r>
        <w:rPr>
          <w:b w:val="false"/>
          <w:bCs w:val="false"/>
          <w:color w:val="000000"/>
        </w:rPr>
        <w:t xml:space="preserve"> Организационное.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  <w:t>Занятие 2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1. Модель «классический жизненный цикл»: этапы, достоинства, недостатки.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Макетирование: цель, шаги, достоинства, недостатки. с.30 — 34.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/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2. Стратегии разработки. </w:t>
      </w: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Инкрементная, спиральная и компонентная модели. с. 35 — 39.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3. Тяжеловесные и облеrченные процессы (с. 39). Обзор agile 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моделей (</w:t>
      </w:r>
      <w:hyperlink r:id="rId11">
        <w:r>
          <w:rPr>
            <w:rFonts w:cs="TimesNewRoman" w:ascii="TimesNewRoman" w:hAnsi="TimesNewRoman"/>
            <w:color w:val="000000"/>
            <w:sz w:val="24"/>
            <w:szCs w:val="24"/>
          </w:rPr>
          <w:t>https://worksection.com/blog/agile.html</w:t>
        </w:r>
      </w:hyperlink>
      <w:r>
        <w:rPr>
          <w:rFonts w:cs="TimesNewRoman" w:ascii="TimesNewRoman" w:hAnsi="TimesNewRoman"/>
          <w:color w:val="000000"/>
          <w:sz w:val="24"/>
          <w:szCs w:val="24"/>
        </w:rPr>
        <w:t>).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4. Модель качества процессов разработки. Модель CMM. (с. 44-46).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5. Процессы Scrum 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(</w:t>
      </w:r>
      <w:hyperlink r:id="rId12">
        <w:r>
          <w:rPr>
            <w:rFonts w:cs="TimesNewRoman" w:ascii="TimesNewRoman" w:hAnsi="TimesNewRoman"/>
            <w:color w:val="000000"/>
            <w:sz w:val="24"/>
            <w:szCs w:val="24"/>
          </w:rPr>
          <w:t>https://www.scrumguides.org/docs/scrumguide/v2017/2017-Scrum-Guide-Russian.pdf</w:t>
        </w:r>
      </w:hyperlink>
      <w:r>
        <w:rPr>
          <w:rFonts w:cs="TimesNewRoman" w:ascii="TimesNewRoman" w:hAnsi="TimesNewRoman"/>
          <w:color w:val="000000"/>
          <w:sz w:val="24"/>
          <w:szCs w:val="24"/>
        </w:rPr>
        <w:t xml:space="preserve"> 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и с. 437).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NewRoman" w:hAnsi="TimesNewRoman" w:cs="TimesNewRoman"/>
          <w:b/>
          <w:b/>
          <w:bCs/>
          <w:color w:val="000000"/>
          <w:sz w:val="24"/>
          <w:szCs w:val="24"/>
        </w:rPr>
      </w:pPr>
      <w:r>
        <w:rPr>
          <w:rFonts w:cs="TimesNewRoman" w:ascii="TimesNewRoman" w:hAnsi="TimesNewRoman"/>
          <w:b/>
          <w:bCs/>
          <w:color w:val="000000"/>
          <w:sz w:val="24"/>
          <w:szCs w:val="24"/>
        </w:rPr>
        <w:t>Занятие 3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6. Основные понятия руководства проектом. Начало, измерения, процесс оценки,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анализ риска, планирование, трассировка и контроль. с. 49-53.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7. Планирование программного проекта: структуры плана управления и 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графика работ программного проекта с. 53-56.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8. Управление риском: идентификация, анализ риска, ранжирование, планирование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управления, разрешение и наблюдение риска с. 59-62.</w:t>
      </w:r>
    </w:p>
    <w:p>
      <w:pPr>
        <w:pStyle w:val="Style22"/>
        <w:rPr>
          <w:rFonts w:ascii="TimesNewRoman" w:hAnsi="TimesNewRoman" w:eastAsia="TimesNewRoman" w:cs="TimesNewRoman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9. Управление персоналом: подбор, взаимодействия в команде, ее состав с. 63-66</w:t>
      </w:r>
    </w:p>
    <w:p>
      <w:pPr>
        <w:pStyle w:val="Style22"/>
        <w:rPr>
          <w:rFonts w:ascii="TimesNewRoman" w:hAnsi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NewRoman" w:ascii="TimesNewRoman" w:hAnsi="TimesNewRoman"/>
          <w:b w:val="false"/>
          <w:bCs w:val="false"/>
          <w:color w:val="000000"/>
          <w:sz w:val="24"/>
          <w:szCs w:val="24"/>
        </w:rPr>
        <w:t>Самраб Толерантное восприятие личностных различий (см. ссылку).</w:t>
      </w:r>
    </w:p>
    <w:p>
      <w:pPr>
        <w:pStyle w:val="Style22"/>
        <w:rPr>
          <w:rFonts w:ascii="TimesNewRoman" w:hAnsi="TimesNewRoman" w:cs="TimesNewRoman"/>
          <w:b/>
          <w:b/>
          <w:bCs/>
          <w:color w:val="000000"/>
          <w:sz w:val="24"/>
          <w:szCs w:val="24"/>
        </w:rPr>
      </w:pPr>
      <w:r>
        <w:rPr>
          <w:rFonts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10.  Управление документацией: стандарты, полнота, согласованность.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Управление конфигурацией: идентификация объектов, контроль верcий и изменений с. 67-72.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NewRoman" w:hAnsi="TimesNewRoman" w:cs="TimesNewRoman"/>
          <w:b/>
          <w:b/>
          <w:bCs/>
          <w:color w:val="000000"/>
          <w:sz w:val="24"/>
          <w:szCs w:val="24"/>
        </w:rPr>
      </w:pPr>
      <w:r>
        <w:rPr>
          <w:rFonts w:cs="TimesNewRoman" w:ascii="TimesNewRoman" w:hAnsi="TimesNewRoman"/>
          <w:b/>
          <w:bCs/>
          <w:color w:val="000000"/>
          <w:sz w:val="24"/>
          <w:szCs w:val="24"/>
        </w:rPr>
        <w:t>Занятие 4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11. Планирование прогораммного проекта. LOC и FP метрики. с. 75-83.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/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12. Оценка на основе LOC и FP метрик при планировании. Конструктивная модель стоимости. </w:t>
      </w: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Модель композиции приложения. с. 83-88.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13. Модели paннero этапа проектирования и этапа постархитектуры. с. 88-94.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/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>14.</w:t>
      </w:r>
      <w:r>
        <w:rPr>
          <w:rFonts w:cs="TimesNewRoman" w:ascii="TimesNewRoman" w:hAnsi="TimesNewRoman"/>
          <w:color w:val="000000"/>
          <w:sz w:val="24"/>
          <w:szCs w:val="24"/>
        </w:rPr>
        <w:t xml:space="preserve"> Предварительная оценка проекта. Анализ чувствительности. Сценарий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понижения зарплаты с. 91-99.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15. Виды требований. с. 104-108.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5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16. Формирование, анализ, аттестация требований с. 108-114.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>17. Рекомендуемые приемы формулирования требований, В, с. 48- 50.</w:t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>18. Каркас процесса создания требований, В, с. 51-53.</w:t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>19. Определение бизнес требованияй, В, с. 86-91.</w:t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>20. Документ о концепции и границах, В, с. 91-96.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Normal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6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Liberation Mono;Courier New" w:cs="TimesNewRoman"/>
          <w:color w:val="000000"/>
          <w:kern w:val="2"/>
          <w:sz w:val="24"/>
          <w:szCs w:val="24"/>
          <w:lang w:val="ru-RU" w:eastAsia="zh-CN" w:bidi="hi-IN"/>
        </w:rPr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>21. Способы представления границ проекта, В, с. 103-108.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22. Характеристики детального требования с. 114-117.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23. Спецификация и управление требованиями 117-120.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24.  Обзор и цели методов визуального моделирования трнбований, В, с. 260-265.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25. Выбор правильного визуального представления, В, с. 265-267.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7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/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26. Диаграммы: потоков данных, </w:t>
      </w: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рабочих потоков (swimlane), В, с. 261-273.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27. Диаграмма переходов состояний и таблица состояний, В, с. 274-277.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28. Карты диалоговых окон, В, с. 274-281. 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29 Таблицы и деревья решений. Таблицы событий и реакций, В, с 281-287.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/>
      </w:pPr>
      <w:r>
        <w:rPr>
          <w:rFonts w:eastAsia="TimesNewRoman" w:cs="TimesNewRoman" w:ascii="TimesNewRoman" w:hAnsi="TimesNewRoman"/>
          <w:b w:val="false"/>
          <w:bCs w:val="false"/>
          <w:color w:val="000000"/>
          <w:kern w:val="2"/>
          <w:sz w:val="24"/>
          <w:szCs w:val="24"/>
          <w:lang w:val="ru-RU" w:eastAsia="zh-CN" w:bidi="hi-IN"/>
        </w:rPr>
        <w:t xml:space="preserve">30. </w:t>
      </w: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 xml:space="preserve"> Моделирование ланных. Диаграмма сущность-связь, В, с.291-294.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8.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31. Моделирование данных. Словарь данных, В, с. 294-298.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32. Процесс синтеза программной системы. Проектирование архитектуры. 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eastAsia="TimesNewRoman" w:cs="TimesNewRoman" w:ascii="TimesNewRoman" w:hAnsi="TimesNewRoman"/>
          <w:color w:val="000000"/>
          <w:sz w:val="24"/>
          <w:szCs w:val="24"/>
        </w:rPr>
        <w:t>структурирование.</w:t>
      </w:r>
      <w:r>
        <w:rPr>
          <w:rFonts w:cs="TimesNewRoman" w:ascii="TimesNewRoman" w:hAnsi="TimesNewRoman"/>
          <w:color w:val="000000"/>
          <w:sz w:val="24"/>
          <w:szCs w:val="24"/>
        </w:rPr>
        <w:t xml:space="preserve"> Шаблоны архитектуры. Шаблон MVC. c. 138-144.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33. Шаблоны архитектуры: с хранилищем данных, клиент-сервер, с.145-148.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34. Шабоны  мноrоуровневая архитектуры и канала и фильтра канала и фильтра с. 148-152. 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/>
      </w:pPr>
      <w:r>
        <w:rPr>
          <w:rFonts w:eastAsia="Liberation Mono;Courier New" w:cs="TimesNewRoman" w:ascii="TimesNewRoman" w:hAnsi="TimesNewRoman"/>
          <w:color w:val="000000"/>
          <w:kern w:val="2"/>
          <w:sz w:val="24"/>
          <w:szCs w:val="24"/>
          <w:lang w:val="ru-RU" w:eastAsia="zh-CN" w:bidi="hi-IN"/>
        </w:rPr>
        <w:t xml:space="preserve">35. </w:t>
      </w:r>
      <w:r>
        <w:rPr>
          <w:rFonts w:cs="TimesNewRoman" w:ascii="TimesNewRoman" w:hAnsi="TimesNewRoman"/>
          <w:color w:val="000000"/>
          <w:sz w:val="24"/>
          <w:szCs w:val="24"/>
        </w:rPr>
        <w:t>Шаблоны управления: вызов-возврат, менеджера, широковещательное,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по прерываниям, с. 152-156.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9.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/>
      </w:pPr>
      <w:r>
        <w:rPr>
          <w:rFonts w:cs="TimesNewRoman" w:ascii="TimesNewRoman" w:hAnsi="TimesNewRoman"/>
          <w:color w:val="000000"/>
          <w:sz w:val="24"/>
          <w:szCs w:val="24"/>
        </w:rPr>
        <w:t xml:space="preserve">36. </w:t>
      </w: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 xml:space="preserve"> Проектирование интерфейсов (Т. М. Зубкова, с. 81-89).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37. Декомпозиция подсистем на модули (без разделения понятий). Модульность: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Информационная закрытость, связность. с. 156-161.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38. Виды связности: функциональная, информационная, коммуникативная, процедурная,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 xml:space="preserve">временная, логическая связность, по совпадению. </w:t>
      </w: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  <w:r>
        <w:rPr>
          <w:rFonts w:cs="TimesNewRoman" w:ascii="TimesNewRoman" w:hAnsi="TimesNewRoman"/>
          <w:color w:val="000000"/>
          <w:sz w:val="24"/>
          <w:szCs w:val="24"/>
        </w:rPr>
        <w:t>Определение связности. с. 161-165.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39. Структурное проектирование. Типы информационных потоков. Проектирование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 xml:space="preserve"> </w:t>
      </w: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для потоков данных типа «преобразование» и «запрос», с.176-182.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/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 xml:space="preserve">40. </w:t>
      </w:r>
      <w:r>
        <w:rPr>
          <w:rFonts w:cs="TimesNewRoman" w:ascii="TimesNewRoman" w:hAnsi="TimesNewRoman"/>
          <w:b w:val="false"/>
          <w:bCs w:val="false"/>
          <w:color w:val="000000"/>
          <w:sz w:val="24"/>
          <w:szCs w:val="24"/>
        </w:rPr>
        <w:t>О</w:t>
      </w:r>
      <w:r>
        <w:rPr>
          <w:rFonts w:cs="TimesNewRoman" w:ascii="TimesNewRoman" w:hAnsi="TimesNewRoman"/>
          <w:color w:val="000000"/>
          <w:sz w:val="24"/>
          <w:szCs w:val="24"/>
        </w:rPr>
        <w:t>беспечение качества. Определение, цели, cтр. 536-539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Факторы качества, с. 539=543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10.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41. Деятельность по обеспечению качества: технические проверки и аудиты, с. 543-546.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42. Деятельность по обеспечению качества: инспектирование, верификация валидация, с. 546-551.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43. Атрибуты качества, Вигерс с. 311-314. План обеспечения качества, Орлов, с. 551-552.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44. Разработка требований к ответственным системам. Горелиц, Кильдишев, разделы 1-2.2.</w:t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</w:r>
    </w:p>
    <w:p>
      <w:pPr>
        <w:pStyle w:val="Style22"/>
        <w:rPr/>
      </w:pPr>
      <w:r>
        <w:rPr>
          <w:rFonts w:cs="TimesNewRoman" w:ascii="TimesNewRoman" w:hAnsi="TimesNewRoman"/>
          <w:color w:val="000000"/>
          <w:sz w:val="24"/>
          <w:szCs w:val="24"/>
        </w:rPr>
        <w:t>45. Анализ инструментов управления требованиями. Горелиц, Кильдишев, разделы 2.3-3.4.</w:t>
      </w:r>
      <w:r>
        <w:rPr>
          <w:rFonts w:eastAsia="TimesNewRoman" w:cs="TimesNewRoman" w:ascii="TimesNewRoman" w:hAnsi="TimesNewRoman"/>
          <w:color w:val="000000"/>
          <w:sz w:val="24"/>
          <w:szCs w:val="24"/>
        </w:rPr>
        <w:t xml:space="preserve"> 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11.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Доклады по тестированию, стр. указаны из источника:</w:t>
      </w:r>
    </w:p>
    <w:p>
      <w:pPr>
        <w:pStyle w:val="Style22"/>
        <w:rPr/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URL:</w:t>
      </w:r>
      <w:hyperlink r:id="rId13">
        <w:r>
          <w:rPr>
            <w:rFonts w:eastAsia="TimesNewRoman" w:cs="TimesNewRoman" w:ascii="TimesNewRoman" w:hAnsi="TimesNewRoman"/>
            <w:b w:val="false"/>
            <w:bCs w:val="false"/>
            <w:color w:val="000000"/>
            <w:sz w:val="24"/>
            <w:szCs w:val="24"/>
          </w:rPr>
          <w:t>http://cs.petrsu.ru/~ybgv/Pr-Project/Uchebniki/ISTQB_CTFL_Syllabus_2018-RU.pdf</w:t>
        </w:r>
      </w:hyperlink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46. Основы тестирования. От 1.1 с. 12 по 1.3., с. 17.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47. Процесс тестирования. От 1.4. с. 17 по 1.4.3, с 25.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48. Тестирование в течение жизненного цикла разработки ПО. От  2., с. 28 по 2.1.2., с. 31.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49. Уровни тестирования. От 2.2., с 31 по 2.2.4., с. 37.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50. Типы тестирования. От 2.3., с. 41 по  2.4.2., с. 46.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12.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51. Инструменты управления проектом: Microsoft project.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cs="TimesNewRoman" w:ascii="TimesNewRoman" w:hAnsi="TimesNewRoman"/>
          <w:color w:val="000000"/>
          <w:sz w:val="24"/>
          <w:szCs w:val="24"/>
        </w:rPr>
        <w:t>52. Инструменты управления проектом: Jira.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53. Инструменты управления проектом: Redmine.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54. Инструменты управления проектом:  Jenkins.</w:t>
      </w:r>
    </w:p>
    <w:p>
      <w:pPr>
        <w:pStyle w:val="Style22"/>
        <w:rPr>
          <w:color w:val="000000"/>
        </w:rPr>
      </w:pPr>
      <w:r>
        <w:rPr>
          <w:color w:val="000000"/>
        </w:rPr>
      </w:r>
    </w:p>
    <w:p>
      <w:pPr>
        <w:pStyle w:val="Style22"/>
        <w:rPr/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 xml:space="preserve">55. Наиболее важные свойства </w:t>
      </w:r>
      <w:r>
        <w:rPr>
          <w:rFonts w:eastAsia="Times New Roman" w:cs="Times-new-Roman;Times New Roman" w:ascii="Times-new-Roman;Times New Roman" w:hAnsi="Times-new-Roman;Times New Roman"/>
          <w:b w:val="false"/>
          <w:bCs w:val="false"/>
          <w:i w:val="false"/>
          <w:iCs/>
          <w:color w:val="000000"/>
          <w:spacing w:val="-1"/>
          <w:kern w:val="0"/>
          <w:sz w:val="24"/>
          <w:szCs w:val="24"/>
          <w:u w:val="none"/>
          <w:lang w:val="ru-RU" w:eastAsia="ar-SA" w:bidi="ar-SA"/>
        </w:rPr>
        <w:t>инструмента для работы с требованиями Requality.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/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13.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56-60 Темы, самостоятельно определённые студентами с учетом своих интересов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14.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61-65 Темы выбранные студентами о настоящем или будущем месте работы.</w:t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  <w:t>Занятие 15, 16</w:t>
      </w:r>
    </w:p>
    <w:p>
      <w:pPr>
        <w:pStyle w:val="Style22"/>
        <w:rPr>
          <w:rFonts w:ascii="TimesNewRoman" w:hAnsi="TimesNewRoman" w:eastAsia="TimesNewRoman" w:cs="TimesNewRoman"/>
          <w:b/>
          <w:b/>
          <w:bCs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/>
          <w:bCs/>
          <w:color w:val="000000"/>
          <w:sz w:val="24"/>
          <w:szCs w:val="24"/>
        </w:rPr>
      </w:r>
    </w:p>
    <w:p>
      <w:pPr>
        <w:pStyle w:val="Style22"/>
        <w:rPr>
          <w:rFonts w:ascii="TimesNewRoman" w:hAnsi="TimesNewRoman" w:eastAsia="TimesNewRoman" w:cs="TimesNew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NewRoman" w:cs="TimesNewRoman" w:ascii="TimesNewRoman" w:hAnsi="TimesNewRoman"/>
          <w:b w:val="false"/>
          <w:bCs w:val="false"/>
          <w:color w:val="000000"/>
          <w:sz w:val="24"/>
          <w:szCs w:val="24"/>
        </w:rPr>
        <w:t>Обсуждения, дискуссии, консультации.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default"/>
  </w:font>
  <w:font w:name="Times-new-Roman">
    <w:altName w:val="Times New Roman"/>
    <w:charset w:val="01"/>
    <w:family w:val="roman"/>
    <w:pitch w:val="default"/>
  </w:font>
  <w:font w:name="Times New Roman">
    <w:charset w:val="01"/>
    <w:family w:val="roman"/>
    <w:pitch w:val="variable"/>
  </w:font>
  <w:font w:name="Times-new-Roman">
    <w:charset w:val="01"/>
    <w:family w:val="roman"/>
    <w:pitch w:val="default"/>
  </w:font>
  <w:font w:name="TimesNewRoman">
    <w:charset w:val="01"/>
    <w:family w:val="roman"/>
    <w:pitch w:val="default"/>
  </w:font>
  <w:font w:name="Courier">
    <w:altName w:val="Courier New"/>
    <w:charset w:val="01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4"/>
        <w:spacing w:val="-10"/>
        <w:b w:val="false"/>
        <w:szCs w:val="24"/>
        <w:iCs/>
        <w:bCs w:val="false"/>
        <w:rFonts w:ascii="Times New Roman" w:hAnsi="Times New Roman" w:eastAsia="Times New Roman" w:cs="Times New Roman"/>
        <w:color w:val="000000"/>
        <w:lang w:val="ru-RU" w:eastAsia="ar-SA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textFit" w:percent="13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WenQuanYi Micro Hei" w:cs="FreeSans"/>
      <w:color w:val="auto"/>
      <w:kern w:val="2"/>
      <w:sz w:val="24"/>
      <w:szCs w:val="24"/>
      <w:lang w:val="ru-RU" w:eastAsia="zh-CN" w:bidi="hi-IN"/>
    </w:rPr>
  </w:style>
  <w:style w:type="character" w:styleId="WW8Num1z0">
    <w:name w:val="WW8Num1z0"/>
    <w:qFormat/>
    <w:rPr>
      <w:rFonts w:ascii="Times New Roman" w:hAnsi="Times New Roman" w:eastAsia="Times New Roman" w:cs="Times New Roman"/>
      <w:b w:val="false"/>
      <w:bCs w:val="false"/>
      <w:iCs/>
      <w:color w:val="000000"/>
      <w:spacing w:val="-10"/>
      <w:sz w:val="24"/>
      <w:szCs w:val="24"/>
      <w:lang w:val="ru-RU" w:eastAsia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WW">
    <w:name w:val="WW-Интернет-ссылка"/>
    <w:qFormat/>
    <w:rPr>
      <w:color w:val="0000FF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WenQuanYi Micro Hei" w:cs="Free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FreeSans"/>
    </w:rPr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s.petrsu.ru/~ybgv/Mod-proc-SW-dev/Uchebniki/Orlov-Tehn-PO.pdf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cs.petrsu.ru/~ybgv/Mod-proc-SW-dev/Uchebniki/Vigers-treb.pdf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://cs.petrsu.ru/~ybgv/Pr-Project/Uchebniki/Gorelits-Kildishev-treb-k-otv-sys.pdf" TargetMode="External"/><Relationship Id="rId7" Type="http://schemas.openxmlformats.org/officeDocument/2006/relationships/hyperlink" Target="http://biblioclub.ru/index.php?page=book&amp;id=429089" TargetMode="External"/><Relationship Id="rId8" Type="http://schemas.openxmlformats.org/officeDocument/2006/relationships/hyperlink" Target="http://cs.petrsu.ru/~ybgv/Pr-Project/Uchebniki/Gorelits-Kildishev-treb-k-otv-sys.pdf" TargetMode="External"/><Relationship Id="rId9" Type="http://schemas.openxmlformats.org/officeDocument/2006/relationships/hyperlink" Target="http://requality.ru/ru/" TargetMode="External"/><Relationship Id="rId10" Type="http://schemas.openxmlformats.org/officeDocument/2006/relationships/hyperlink" Target="http://cs.petrsu.ru/~ybgv/Pr-Project/Shablon-presentacii/" TargetMode="External"/><Relationship Id="rId11" Type="http://schemas.openxmlformats.org/officeDocument/2006/relationships/hyperlink" Target="https://worksection.com/blog/agile.html" TargetMode="External"/><Relationship Id="rId12" Type="http://schemas.openxmlformats.org/officeDocument/2006/relationships/hyperlink" Target="https://www.scrumguides.org/docs/scrumguide/v2017/2017-Scrum-Guide-Russian.pdf" TargetMode="External"/><Relationship Id="rId13" Type="http://schemas.openxmlformats.org/officeDocument/2006/relationships/hyperlink" Target="http://cs.petrsu.ru/~ybgv/Pr-Project/Uchebniki/ISTQB_CTFL_Syllabus_2018-RU.pdf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691</TotalTime>
  <Application>LibreOffice/7.3.3.1$Linux_X86_64 LibreOffice_project/30$Build-1</Application>
  <AppVersion>15.0000</AppVersion>
  <Pages>6</Pages>
  <Words>1370</Words>
  <Characters>10350</Characters>
  <CharactersWithSpaces>11667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2019-01-30T16:22:48Z</dcterms:created>
  <dc:creator/>
  <dc:description/>
  <dc:language>ru-RU</dc:language>
  <cp:lastModifiedBy/>
  <cp:lastPrinted>1995-11-21T17:41:00Z</cp:lastPrinted>
  <dcterms:modified xsi:type="dcterms:W3CDTF">2022-09-08T14:11:35Z</dcterms:modified>
  <cp:revision>112</cp:revision>
  <dc:subject/>
  <dc:title/>
</cp:coreProperties>
</file>